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70" w:rsidRDefault="008A5874" w:rsidP="008A5874">
      <w:pPr>
        <w:pStyle w:val="a4"/>
        <w:shd w:val="clear" w:color="auto" w:fill="FFFFFF"/>
        <w:spacing w:before="240" w:line="720" w:lineRule="atLeast"/>
        <w:rPr>
          <w:rStyle w:val="a3"/>
          <w:rFonts w:ascii="微软雅黑" w:eastAsia="微软雅黑" w:hAnsi="微软雅黑" w:cs="Helvetica"/>
          <w:color w:val="333333"/>
          <w:sz w:val="27"/>
          <w:szCs w:val="27"/>
        </w:rPr>
      </w:pPr>
      <w:r>
        <w:rPr>
          <w:rStyle w:val="a3"/>
          <w:rFonts w:ascii="微软雅黑" w:eastAsia="微软雅黑" w:hAnsi="微软雅黑" w:cs="Helvetica" w:hint="eastAsia"/>
          <w:color w:val="333333"/>
          <w:sz w:val="27"/>
          <w:szCs w:val="27"/>
        </w:rPr>
        <w:t>复赛调研方向：</w:t>
      </w:r>
      <w:bookmarkStart w:id="0" w:name="_Hlk87862594"/>
      <w:r w:rsidR="00A80470" w:rsidRPr="00A80470">
        <w:rPr>
          <w:rStyle w:val="a3"/>
          <w:rFonts w:ascii="微软雅黑" w:eastAsia="微软雅黑" w:hAnsi="微软雅黑" w:cs="Helvetica" w:hint="eastAsia"/>
          <w:color w:val="333333"/>
          <w:sz w:val="27"/>
          <w:szCs w:val="27"/>
        </w:rPr>
        <w:t>疫情环境下的企业财务战略</w:t>
      </w:r>
      <w:r w:rsidR="00A80470">
        <w:rPr>
          <w:rStyle w:val="a3"/>
          <w:rFonts w:ascii="微软雅黑" w:eastAsia="微软雅黑" w:hAnsi="微软雅黑" w:cs="Helvetica" w:hint="eastAsia"/>
          <w:color w:val="333333"/>
          <w:sz w:val="27"/>
          <w:szCs w:val="27"/>
        </w:rPr>
        <w:t>与</w:t>
      </w:r>
      <w:r w:rsidR="00A80470" w:rsidRPr="00A80470">
        <w:rPr>
          <w:rStyle w:val="a3"/>
          <w:rFonts w:ascii="微软雅黑" w:eastAsia="微软雅黑" w:hAnsi="微软雅黑" w:cs="Helvetica" w:hint="eastAsia"/>
          <w:color w:val="333333"/>
          <w:sz w:val="27"/>
          <w:szCs w:val="27"/>
        </w:rPr>
        <w:t>风险管理</w:t>
      </w:r>
      <w:bookmarkEnd w:id="0"/>
    </w:p>
    <w:p w:rsidR="00F21B30" w:rsidRDefault="008A5874" w:rsidP="008A5874">
      <w:pPr>
        <w:pStyle w:val="a4"/>
        <w:shd w:val="clear" w:color="auto" w:fill="FFFFFF"/>
        <w:spacing w:after="0" w:line="420" w:lineRule="atLeast"/>
        <w:rPr>
          <w:rFonts w:ascii="Microsoft YaHei UI" w:eastAsia="Microsoft YaHei UI" w:hAnsi="Microsoft YaHei UI" w:cs="Helvetica"/>
          <w:color w:val="333333"/>
          <w:spacing w:val="8"/>
          <w:sz w:val="26"/>
          <w:szCs w:val="26"/>
        </w:rPr>
      </w:pPr>
      <w:r>
        <w:rPr>
          <w:rStyle w:val="a3"/>
          <w:rFonts w:ascii="Microsoft YaHei UI" w:eastAsia="Microsoft YaHei UI" w:hAnsi="Microsoft YaHei UI" w:cs="Helvetica" w:hint="eastAsia"/>
          <w:color w:val="333333"/>
          <w:spacing w:val="8"/>
          <w:sz w:val="26"/>
          <w:szCs w:val="26"/>
        </w:rPr>
        <w:t>复赛阶段</w:t>
      </w:r>
      <w:bookmarkStart w:id="1" w:name="_GoBack"/>
      <w:bookmarkEnd w:id="1"/>
      <w:r w:rsidR="00F21B30">
        <w:rPr>
          <w:rStyle w:val="a3"/>
          <w:rFonts w:ascii="Microsoft YaHei UI" w:eastAsia="Microsoft YaHei UI" w:hAnsi="Microsoft YaHei UI" w:cs="Helvetica" w:hint="eastAsia"/>
          <w:color w:val="333333"/>
          <w:spacing w:val="8"/>
          <w:sz w:val="26"/>
          <w:szCs w:val="26"/>
        </w:rPr>
        <w:t>调研要求</w:t>
      </w:r>
      <w:r>
        <w:rPr>
          <w:rStyle w:val="a3"/>
          <w:rFonts w:ascii="Microsoft YaHei UI" w:eastAsia="Microsoft YaHei UI" w:hAnsi="Microsoft YaHei UI" w:cs="Helvetica" w:hint="eastAsia"/>
          <w:color w:val="333333"/>
          <w:spacing w:val="8"/>
          <w:sz w:val="26"/>
          <w:szCs w:val="26"/>
        </w:rPr>
        <w:t>：</w:t>
      </w:r>
    </w:p>
    <w:p w:rsidR="00F21B30" w:rsidRDefault="008A5874" w:rsidP="00F21B30">
      <w:pPr>
        <w:pStyle w:val="a4"/>
        <w:shd w:val="clear" w:color="auto" w:fill="FFFFFF"/>
        <w:spacing w:before="75" w:after="75" w:line="360" w:lineRule="atLeast"/>
        <w:ind w:firstLine="480"/>
        <w:jc w:val="both"/>
        <w:rPr>
          <w:rFonts w:ascii="微软雅黑" w:eastAsia="微软雅黑" w:hAnsi="微软雅黑" w:cs="Helvetica"/>
          <w:color w:val="333333"/>
          <w:sz w:val="18"/>
          <w:szCs w:val="18"/>
        </w:rPr>
      </w:pPr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复赛</w:t>
      </w:r>
      <w:r w:rsidR="00F21B30">
        <w:rPr>
          <w:rFonts w:ascii="微软雅黑" w:eastAsia="微软雅黑" w:hAnsi="微软雅黑" w:cs="Helvetica" w:hint="eastAsia"/>
          <w:color w:val="333333"/>
          <w:sz w:val="18"/>
          <w:szCs w:val="18"/>
        </w:rPr>
        <w:t>阶段提交案例研究参赛作品，需包含案例描述及解决方案两部分内容。各参赛队伍需以</w:t>
      </w:r>
      <w:r w:rsidR="00F21B30">
        <w:rPr>
          <w:rStyle w:val="a3"/>
          <w:rFonts w:ascii="微软雅黑" w:eastAsia="微软雅黑" w:hAnsi="微软雅黑" w:cs="Helvetica" w:hint="eastAsia"/>
          <w:color w:val="333333"/>
          <w:sz w:val="18"/>
          <w:szCs w:val="18"/>
        </w:rPr>
        <w:t>“</w:t>
      </w:r>
      <w:r w:rsidRPr="008A5874">
        <w:rPr>
          <w:rStyle w:val="a3"/>
          <w:rFonts w:ascii="微软雅黑" w:eastAsia="微软雅黑" w:hAnsi="微软雅黑" w:cs="Helvetica" w:hint="eastAsia"/>
          <w:color w:val="333333"/>
          <w:sz w:val="18"/>
          <w:szCs w:val="18"/>
        </w:rPr>
        <w:t>疫情环境下的企业财务战略与风险管理</w:t>
      </w:r>
      <w:r w:rsidR="00F21B30">
        <w:rPr>
          <w:rStyle w:val="a3"/>
          <w:rFonts w:ascii="微软雅黑" w:eastAsia="微软雅黑" w:hAnsi="微软雅黑" w:cs="Helvetica" w:hint="eastAsia"/>
          <w:color w:val="333333"/>
          <w:sz w:val="18"/>
          <w:szCs w:val="18"/>
        </w:rPr>
        <w:t>”</w:t>
      </w:r>
      <w:r w:rsidR="00F21B30">
        <w:rPr>
          <w:rFonts w:ascii="微软雅黑" w:eastAsia="微软雅黑" w:hAnsi="微软雅黑" w:cs="Helvetica" w:hint="eastAsia"/>
          <w:color w:val="333333"/>
          <w:sz w:val="18"/>
          <w:szCs w:val="18"/>
        </w:rPr>
        <w:t>为方向，选择恰当的企业开展实地调研，搜集整理素材，编写案例并提出解决方案，形成完整的案例研究作品。</w:t>
      </w:r>
    </w:p>
    <w:p w:rsidR="00F21B30" w:rsidRDefault="00F21B30" w:rsidP="00F21B30">
      <w:pPr>
        <w:pStyle w:val="a4"/>
        <w:shd w:val="clear" w:color="auto" w:fill="FFFFFF"/>
        <w:spacing w:before="75" w:after="75" w:line="360" w:lineRule="atLeast"/>
        <w:ind w:firstLine="480"/>
        <w:jc w:val="both"/>
        <w:rPr>
          <w:rFonts w:ascii="微软雅黑" w:eastAsia="微软雅黑" w:hAnsi="微软雅黑" w:cs="Helvetica"/>
          <w:color w:val="333333"/>
          <w:sz w:val="18"/>
          <w:szCs w:val="18"/>
        </w:rPr>
      </w:pPr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1.案例描述部分的总体要求</w:t>
      </w:r>
    </w:p>
    <w:p w:rsidR="00F21B30" w:rsidRDefault="00F21B30" w:rsidP="00F21B30">
      <w:pPr>
        <w:pStyle w:val="a4"/>
        <w:shd w:val="clear" w:color="auto" w:fill="FFFFFF"/>
        <w:spacing w:before="75" w:after="75" w:line="360" w:lineRule="atLeast"/>
        <w:ind w:firstLine="480"/>
        <w:jc w:val="both"/>
        <w:rPr>
          <w:rFonts w:ascii="微软雅黑" w:eastAsia="微软雅黑" w:hAnsi="微软雅黑" w:cs="Helvetica"/>
          <w:color w:val="333333"/>
          <w:sz w:val="18"/>
          <w:szCs w:val="18"/>
        </w:rPr>
      </w:pPr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调研案例应以真实企业的真实管理实践为对象，取得第一手素材进行编写。调研案例描述，应围绕调研主题完整地刻画案例原貌，主题明确，案例素材与研究主题一致，线索清晰，材料丰富细致，具有典型性和代表性。案例描述撰写规范、文风平实、措辞恰当、内容完整，结构严谨，并具有逻辑性。</w:t>
      </w:r>
    </w:p>
    <w:p w:rsidR="00F21B30" w:rsidRDefault="00F21B30" w:rsidP="00F21B30">
      <w:pPr>
        <w:pStyle w:val="a4"/>
        <w:shd w:val="clear" w:color="auto" w:fill="FFFFFF"/>
        <w:spacing w:before="75" w:after="75" w:line="360" w:lineRule="atLeast"/>
        <w:ind w:firstLine="480"/>
        <w:jc w:val="both"/>
        <w:rPr>
          <w:rFonts w:ascii="微软雅黑" w:eastAsia="微软雅黑" w:hAnsi="微软雅黑" w:cs="Helvetica"/>
          <w:color w:val="333333"/>
          <w:sz w:val="18"/>
          <w:szCs w:val="18"/>
        </w:rPr>
      </w:pPr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2.解决方案部分的总体要求</w:t>
      </w:r>
    </w:p>
    <w:p w:rsidR="00F21B30" w:rsidRDefault="00F21B30" w:rsidP="00F21B30">
      <w:pPr>
        <w:pStyle w:val="a4"/>
        <w:shd w:val="clear" w:color="auto" w:fill="FFFFFF"/>
        <w:spacing w:before="75" w:after="75" w:line="360" w:lineRule="atLeast"/>
        <w:ind w:firstLine="480"/>
        <w:jc w:val="both"/>
        <w:rPr>
          <w:rFonts w:ascii="微软雅黑" w:eastAsia="微软雅黑" w:hAnsi="微软雅黑" w:cs="Helvetica"/>
          <w:color w:val="333333"/>
          <w:sz w:val="18"/>
          <w:szCs w:val="18"/>
        </w:rPr>
      </w:pPr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解决方案应包括“发现或提出问题”、“分析问题”、“解决方案”以及“启示与借鉴”（或“实际意义”）四部分内容。要求参赛队伍能准确发现问题，并依据相应的理论、运用恰当的方法分析、解决问题；分析思路清晰严密，分析内容全面深入；要能够用最新的会计理论或相关理论提出新颖的解决方案；解决方案要具备实用性、可操作性，要具有启示与借鉴意义。</w:t>
      </w:r>
    </w:p>
    <w:p w:rsidR="00F21B30" w:rsidRDefault="00F21B30" w:rsidP="00F21B30">
      <w:pPr>
        <w:pStyle w:val="a4"/>
        <w:shd w:val="clear" w:color="auto" w:fill="FFFFFF"/>
        <w:spacing w:before="75" w:after="75" w:line="360" w:lineRule="atLeast"/>
        <w:ind w:firstLine="480"/>
        <w:jc w:val="both"/>
        <w:rPr>
          <w:rFonts w:ascii="微软雅黑" w:eastAsia="微软雅黑" w:hAnsi="微软雅黑" w:cs="Helvetica"/>
          <w:color w:val="333333"/>
          <w:sz w:val="18"/>
          <w:szCs w:val="18"/>
        </w:rPr>
      </w:pPr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3.案例作品的总体要求</w:t>
      </w:r>
    </w:p>
    <w:p w:rsidR="00F21B30" w:rsidRDefault="00F21B30" w:rsidP="00F21B30">
      <w:pPr>
        <w:pStyle w:val="a4"/>
        <w:shd w:val="clear" w:color="auto" w:fill="FFFFFF"/>
        <w:spacing w:before="75" w:after="75" w:line="360" w:lineRule="atLeast"/>
        <w:ind w:firstLine="480"/>
        <w:jc w:val="both"/>
        <w:rPr>
          <w:rFonts w:ascii="微软雅黑" w:eastAsia="微软雅黑" w:hAnsi="微软雅黑" w:cs="Helvetica"/>
          <w:color w:val="333333"/>
          <w:sz w:val="18"/>
          <w:szCs w:val="18"/>
        </w:rPr>
      </w:pPr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完整的案例研究作品应由标题、摘要、关键词及正文组成。作品标题应准确、精炼。摘要应对案例的现状、问题、分析研究方法与过程、观点、结论等进行简要、完整的论述，它应该是整个案例研究的一个缩影。案例正文</w:t>
      </w:r>
      <w:proofErr w:type="gramStart"/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应结构</w:t>
      </w:r>
      <w:proofErr w:type="gramEnd"/>
      <w:r>
        <w:rPr>
          <w:rFonts w:ascii="微软雅黑" w:eastAsia="微软雅黑" w:hAnsi="微软雅黑" w:cs="Helvetica" w:hint="eastAsia"/>
          <w:color w:val="333333"/>
          <w:sz w:val="18"/>
          <w:szCs w:val="18"/>
        </w:rPr>
        <w:t>清楚，层次分明，建议按照案例研究内容的层次性分章节编写。图表应插置到正文相关位置，并应顺序编写图名图号、表名表号。正文中与图、表相联系处，应该用括号注明“请参阅图X（表X）”。</w:t>
      </w:r>
    </w:p>
    <w:p w:rsidR="00F21B30" w:rsidRPr="00F21B30" w:rsidRDefault="00F21B30"/>
    <w:sectPr w:rsidR="00F21B30" w:rsidRPr="00F21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0"/>
    <w:rsid w:val="008A5874"/>
    <w:rsid w:val="00A80470"/>
    <w:rsid w:val="00E803D2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3187"/>
  <w15:chartTrackingRefBased/>
  <w15:docId w15:val="{36A68790-B33F-407B-BBB4-1A90DEC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B30"/>
    <w:rPr>
      <w:b/>
      <w:bCs/>
    </w:rPr>
  </w:style>
  <w:style w:type="paragraph" w:styleId="a4">
    <w:name w:val="Normal (Web)"/>
    <w:basedOn w:val="a"/>
    <w:uiPriority w:val="99"/>
    <w:semiHidden/>
    <w:unhideWhenUsed/>
    <w:rsid w:val="00F21B3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099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sjq</dc:creator>
  <cp:keywords/>
  <dc:description/>
  <cp:lastModifiedBy>sjq</cp:lastModifiedBy>
  <cp:revision>7</cp:revision>
  <dcterms:created xsi:type="dcterms:W3CDTF">2021-11-12T02:53:00Z</dcterms:created>
  <dcterms:modified xsi:type="dcterms:W3CDTF">2021-11-15T01:58:00Z</dcterms:modified>
</cp:coreProperties>
</file>